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8C" w:rsidRDefault="00A5408C" w:rsidP="00CA20DA">
      <w:pPr>
        <w:pStyle w:val="Overskrift2"/>
      </w:pPr>
      <w:r>
        <w:t>Brintspektret</w:t>
      </w:r>
    </w:p>
    <w:p w:rsidR="00CA20DA" w:rsidRPr="00CA20DA" w:rsidRDefault="00CA20DA" w:rsidP="00CA20DA"/>
    <w:p w:rsidR="00A5408C" w:rsidRDefault="00A5408C" w:rsidP="00A5408C">
      <w:pPr>
        <w:pStyle w:val="Overskrift4"/>
      </w:pPr>
      <w:r>
        <w:t>Formål</w:t>
      </w:r>
    </w:p>
    <w:p w:rsidR="00A5408C" w:rsidRDefault="00A5408C" w:rsidP="00A5408C">
      <w:r>
        <w:t xml:space="preserve">At </w:t>
      </w:r>
      <w:r w:rsidR="00CF724F">
        <w:t xml:space="preserve">bestemme </w:t>
      </w:r>
      <w:r>
        <w:t xml:space="preserve">bølgelængderne </w:t>
      </w:r>
      <w:r w:rsidR="00CF724F">
        <w:t>for nogle af de synlige linjer i brintspektret og sam</w:t>
      </w:r>
      <w:r w:rsidR="00CF724F">
        <w:softHyphen/>
        <w:t>men</w:t>
      </w:r>
      <w:r w:rsidR="00CF724F">
        <w:softHyphen/>
        <w:t>ligne dem med de teo</w:t>
      </w:r>
      <w:r w:rsidR="00CF724F">
        <w:softHyphen/>
        <w:t>retiske, der kan beregnes ud fra de af Niels Bohr angivne ener</w:t>
      </w:r>
      <w:r w:rsidR="00CF724F">
        <w:softHyphen/>
        <w:t>gi</w:t>
      </w:r>
      <w:r w:rsidR="00CF724F">
        <w:softHyphen/>
        <w:t>niveauer i brint</w:t>
      </w:r>
      <w:r w:rsidR="00CF724F">
        <w:softHyphen/>
        <w:t>atomet</w:t>
      </w:r>
      <w:r>
        <w:t>.</w:t>
      </w:r>
    </w:p>
    <w:p w:rsidR="00A5408C" w:rsidRDefault="00A5408C" w:rsidP="00A5408C"/>
    <w:p w:rsidR="00A5408C" w:rsidRDefault="00A5408C" w:rsidP="00A5408C">
      <w:pPr>
        <w:pStyle w:val="Overskrift4"/>
      </w:pPr>
      <w:r>
        <w:t>Forsøg 1</w:t>
      </w:r>
    </w:p>
    <w:p w:rsidR="001C3B74" w:rsidRDefault="00A5408C" w:rsidP="00A5408C">
      <w:r>
        <w:t xml:space="preserve">Vi </w:t>
      </w:r>
      <w:r w:rsidR="00CA20DA">
        <w:t xml:space="preserve">ønsker at </w:t>
      </w:r>
      <w:r>
        <w:t xml:space="preserve">finde bølgelængderne for det lys, som et </w:t>
      </w:r>
      <w:r w:rsidR="00BE502E">
        <w:t>brint</w:t>
      </w:r>
      <w:r w:rsidR="00884722">
        <w:t>-</w:t>
      </w:r>
      <w:r w:rsidR="00BE502E">
        <w:t>r</w:t>
      </w:r>
      <w:r>
        <w:t>ør udsender. Lyset skyl</w:t>
      </w:r>
      <w:r>
        <w:softHyphen/>
        <w:t xml:space="preserve">des forskellige elektronovergange i </w:t>
      </w:r>
      <w:r w:rsidR="00884722">
        <w:t xml:space="preserve">brintatomet i den gas, der er i brint-røret. </w:t>
      </w:r>
      <w:r>
        <w:t xml:space="preserve">Vi får brug for et gitter med en kendt gitterkonstant. Et gitter på 600 linjer pr. mm vil være passende. Når lyset fra </w:t>
      </w:r>
      <w:r w:rsidR="00884722">
        <w:t>brint</w:t>
      </w:r>
      <w:r>
        <w:t>-røret passerer igennem gitteret vil forskellige dele af lyset afbøjes forskelligt, alt efter hvilken bølgelængde lyset har. Vi skal studere de vinkler, som de forskellige farver – svarende til de forskellige bølgelængder – af</w:t>
      </w:r>
      <w:r>
        <w:softHyphen/>
        <w:t xml:space="preserve">bøjes i. Til dette formål er det praktisk at benytte et såkaldt </w:t>
      </w:r>
      <w:r>
        <w:rPr>
          <w:i/>
          <w:iCs/>
        </w:rPr>
        <w:t>spektrometer</w:t>
      </w:r>
      <w:r>
        <w:t xml:space="preserve">, også kaldet et </w:t>
      </w:r>
      <w:r>
        <w:rPr>
          <w:i/>
          <w:iCs/>
        </w:rPr>
        <w:t>gonio</w:t>
      </w:r>
      <w:r>
        <w:rPr>
          <w:i/>
          <w:iCs/>
        </w:rPr>
        <w:softHyphen/>
        <w:t>meter</w:t>
      </w:r>
      <w:r>
        <w:t xml:space="preserve">. </w:t>
      </w:r>
    </w:p>
    <w:p w:rsidR="00CA20DA" w:rsidRDefault="00CA20DA" w:rsidP="00A5408C"/>
    <w:p w:rsidR="001C3B74" w:rsidRDefault="001C3B74" w:rsidP="001C3B74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599688" cy="4498848"/>
            <wp:effectExtent l="38100" t="19050" r="19812" b="16002"/>
            <wp:docPr id="4" name="Billede 3" descr="brint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t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449884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84722" w:rsidRDefault="00884722" w:rsidP="00A5408C"/>
    <w:p w:rsidR="00A5408C" w:rsidRDefault="00A5408C" w:rsidP="00A5408C">
      <w:r>
        <w:t xml:space="preserve">Det har et rør med linser, som anbringes foran </w:t>
      </w:r>
      <w:r w:rsidR="001C3B74">
        <w:t>brint</w:t>
      </w:r>
      <w:r>
        <w:t>-røret samt en spalte, hvis bredde kan justeres med en skrue. Spal</w:t>
      </w:r>
      <w:r>
        <w:softHyphen/>
        <w:t>ten sørger for en tilpas tynd stråle og linserne justeres, så man ser et skarpt billede i det andet rør nærmest øjet, som jeg her vil kalde ”kikkerten”. Ved at dreje kikkerten rundt på den gradinddelte cirkulære skive kan man iagttage de forskellige farvede linjer, kal</w:t>
      </w:r>
      <w:r>
        <w:softHyphen/>
        <w:t xml:space="preserve">det </w:t>
      </w:r>
      <w:r>
        <w:rPr>
          <w:i/>
          <w:iCs/>
        </w:rPr>
        <w:t>spektrallinjer</w:t>
      </w:r>
      <w:r>
        <w:t xml:space="preserve">. For </w:t>
      </w:r>
      <w:r w:rsidR="001C3B74">
        <w:t>brint</w:t>
      </w:r>
      <w:r>
        <w:t xml:space="preserve">-rørets vedkommende kan man </w:t>
      </w:r>
      <w:r w:rsidR="001C3B74">
        <w:lastRenderedPageBreak/>
        <w:t>iagt</w:t>
      </w:r>
      <w:r w:rsidR="001C3B74">
        <w:softHyphen/>
        <w:t xml:space="preserve">tage tre tydelige linjer og hvis man er heldig en meget svag violet. </w:t>
      </w:r>
      <w:r>
        <w:t>Vi skal ude</w:t>
      </w:r>
      <w:r w:rsidR="001C3B74">
        <w:softHyphen/>
      </w:r>
      <w:r>
        <w:t>luk</w:t>
      </w:r>
      <w:r w:rsidR="001C3B74">
        <w:softHyphen/>
      </w:r>
      <w:r>
        <w:t>ken</w:t>
      </w:r>
      <w:r w:rsidR="001C3B74">
        <w:softHyphen/>
      </w:r>
      <w:r>
        <w:t xml:space="preserve">de benytte os af 1. ordens afbøjninger, så </w:t>
      </w:r>
      <w:r w:rsidRPr="005F26FF">
        <w:rPr>
          <w:position w:val="-6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9" o:title=""/>
          </v:shape>
          <o:OLEObject Type="Embed" ProgID="Equation.DSMT4" ShapeID="_x0000_i1025" DrawAspect="Content" ObjectID="_1321019099" r:id="rId10"/>
        </w:object>
      </w:r>
      <w:r w:rsidR="001C3B74">
        <w:rPr>
          <w:position w:val="-6"/>
        </w:rPr>
        <w:t xml:space="preserve"> </w:t>
      </w:r>
      <w:r w:rsidR="001C3B74">
        <w:t xml:space="preserve">i gitterformlen. </w:t>
      </w:r>
      <w:r>
        <w:t xml:space="preserve"> </w:t>
      </w:r>
    </w:p>
    <w:p w:rsidR="00A5408C" w:rsidRDefault="00A5408C" w:rsidP="00A5408C"/>
    <w:p w:rsidR="00A5408C" w:rsidRDefault="00A5408C" w:rsidP="00A5408C">
      <w:r>
        <w:t xml:space="preserve">Vi skal have bestemt vinklen fra hver enkelt linje </w:t>
      </w:r>
      <w:r w:rsidR="007F3171">
        <w:t xml:space="preserve">i forhold til </w:t>
      </w:r>
      <w:r>
        <w:t>0. ordens strålen. Dette kan gøres ved hjælp af vinkelmåleren på spektromet</w:t>
      </w:r>
      <w:r w:rsidR="005E4725">
        <w:t>e</w:t>
      </w:r>
      <w:r>
        <w:t>ret</w:t>
      </w:r>
      <w:r w:rsidR="005E4725">
        <w:t>s</w:t>
      </w:r>
      <w:r>
        <w:t xml:space="preserve"> cirkelskive. Bemærk, at man får et mere nøjagtigt tal for vinklen ved at finde vinklen imellem de to symmetrisk be</w:t>
      </w:r>
      <w:r w:rsidR="005E4725">
        <w:softHyphen/>
      </w:r>
      <w:r>
        <w:t>lig</w:t>
      </w:r>
      <w:r w:rsidR="005E4725">
        <w:softHyphen/>
      </w:r>
      <w:r>
        <w:t>gende linjer – med samme farve – omkring 0. ordens strålen og derefter dividere med 2 (Over</w:t>
      </w:r>
      <w:r>
        <w:softHyphen/>
        <w:t>vej hvorfor!). Altså:</w:t>
      </w:r>
    </w:p>
    <w:p w:rsidR="00A5408C" w:rsidRDefault="007F3171" w:rsidP="00A5408C">
      <w:pPr>
        <w:spacing w:after="120"/>
      </w:pPr>
      <w:r>
        <w:t>(1</w:t>
      </w:r>
      <w:r w:rsidR="00A5408C">
        <w:t>)</w:t>
      </w:r>
      <w:r w:rsidR="00A5408C">
        <w:tab/>
      </w:r>
      <w:r w:rsidR="00A5408C">
        <w:tab/>
      </w:r>
      <w:r w:rsidR="00A5408C">
        <w:tab/>
      </w:r>
      <w:r w:rsidR="00A5408C">
        <w:tab/>
      </w:r>
      <w:r w:rsidR="00A5408C">
        <w:tab/>
      </w:r>
      <w:r w:rsidR="00A5408C">
        <w:tab/>
      </w:r>
      <w:r w:rsidR="00A5408C">
        <w:tab/>
      </w:r>
      <w:r w:rsidR="00A5408C">
        <w:tab/>
      </w:r>
      <w:r w:rsidR="00A5408C" w:rsidRPr="005F26FF">
        <w:rPr>
          <w:position w:val="-24"/>
        </w:rPr>
        <w:object w:dxaOrig="1280" w:dyaOrig="620">
          <v:shape id="_x0000_i1026" type="#_x0000_t75" style="width:63.75pt;height:30.75pt" o:ole="">
            <v:imagedata r:id="rId11" o:title=""/>
          </v:shape>
          <o:OLEObject Type="Embed" ProgID="Equation.DSMT4" ShapeID="_x0000_i1026" DrawAspect="Content" ObjectID="_1321019100" r:id="rId12"/>
        </w:object>
      </w:r>
    </w:p>
    <w:p w:rsidR="009A2342" w:rsidRDefault="00A5408C" w:rsidP="009A2342">
      <w:pPr>
        <w:spacing w:line="320" w:lineRule="exact"/>
        <w:rPr>
          <w:bCs/>
          <w:iCs/>
        </w:rPr>
      </w:pPr>
      <w:r>
        <w:rPr>
          <w:i/>
          <w:iCs/>
        </w:rPr>
        <w:t>Gode råd</w:t>
      </w:r>
      <w:r w:rsidR="007F3171">
        <w:t xml:space="preserve">: </w:t>
      </w:r>
      <w:r>
        <w:t>Sørg for, at lysstrålen ram</w:t>
      </w:r>
      <w:r>
        <w:softHyphen/>
        <w:t xml:space="preserve">mer </w:t>
      </w:r>
      <w:r>
        <w:rPr>
          <w:i/>
          <w:iCs/>
        </w:rPr>
        <w:t>vinkelret</w:t>
      </w:r>
      <w:r>
        <w:t xml:space="preserve"> ind på gitteret! Anbring røret så tæt på røret som muligt, sådan at spalten er lige ud for </w:t>
      </w:r>
      <w:r w:rsidR="007F3171">
        <w:t>brintrøret</w:t>
      </w:r>
      <w:r>
        <w:t>. Spalten skal gøres tilpas smal til at linjerne fremstår tyde</w:t>
      </w:r>
      <w:r>
        <w:softHyphen/>
        <w:t xml:space="preserve">lige og skarpe. Brug </w:t>
      </w:r>
      <w:r w:rsidR="007F3171">
        <w:t xml:space="preserve">trådkorset </w:t>
      </w:r>
      <w:r>
        <w:t>i kikkerten til at udpege lin</w:t>
      </w:r>
      <w:r w:rsidR="005E4725">
        <w:softHyphen/>
      </w:r>
      <w:r>
        <w:t>jen. Herefter aflæses grad</w:t>
      </w:r>
      <w:r>
        <w:softHyphen/>
        <w:t>tal</w:t>
      </w:r>
      <w:r>
        <w:softHyphen/>
        <w:t xml:space="preserve">let. </w:t>
      </w:r>
      <w:r w:rsidR="007F3171">
        <w:t xml:space="preserve">Her skal </w:t>
      </w:r>
      <w:r>
        <w:t>nonius</w:t>
      </w:r>
      <w:r w:rsidR="007F3171">
        <w:t xml:space="preserve"> benyttes. Den kan </w:t>
      </w:r>
      <w:r>
        <w:t>give en nøj</w:t>
      </w:r>
      <w:r w:rsidR="007F3171">
        <w:softHyphen/>
      </w:r>
      <w:r>
        <w:t>agtig</w:t>
      </w:r>
      <w:r w:rsidR="007F3171">
        <w:softHyphen/>
      </w:r>
      <w:r>
        <w:t xml:space="preserve">hed </w:t>
      </w:r>
      <w:r w:rsidR="007F3171">
        <w:t xml:space="preserve">i aflæsningen </w:t>
      </w:r>
      <w:r>
        <w:t>på 0,1</w:t>
      </w:r>
      <w:r>
        <w:sym w:font="Symbol" w:char="F0B0"/>
      </w:r>
      <w:r>
        <w:t xml:space="preserve">. </w:t>
      </w:r>
      <w:r w:rsidR="009A2342">
        <w:t xml:space="preserve">Nedskriv resultaterne for de tre tydelige linjer </w:t>
      </w:r>
      <w:r w:rsidR="003B3445">
        <w:t>(</w:t>
      </w:r>
      <w:r w:rsidR="009A2342">
        <w:t>og den svage linje, hvis du kan</w:t>
      </w:r>
      <w:r w:rsidR="003B3445">
        <w:t xml:space="preserve"> se den)</w:t>
      </w:r>
      <w:r w:rsidR="009A2342">
        <w:t xml:space="preserve"> i nedenstående skema. </w:t>
      </w:r>
      <w:r>
        <w:t xml:space="preserve">Benyt </w:t>
      </w:r>
      <w:r w:rsidR="009A2342" w:rsidRPr="009A2342">
        <w:rPr>
          <w:i/>
        </w:rPr>
        <w:t>gitterformlen</w:t>
      </w:r>
      <w:r w:rsidR="009A2342">
        <w:t xml:space="preserve"> til at be</w:t>
      </w:r>
      <w:r w:rsidR="00F07B32">
        <w:softHyphen/>
      </w:r>
      <w:r w:rsidR="009A2342">
        <w:t>stem</w:t>
      </w:r>
      <w:r w:rsidR="00F07B32">
        <w:softHyphen/>
      </w:r>
      <w:r w:rsidR="009A2342">
        <w:t>me bøl</w:t>
      </w:r>
      <w:r w:rsidR="00040264">
        <w:softHyphen/>
      </w:r>
      <w:r w:rsidR="009A2342">
        <w:t>ge</w:t>
      </w:r>
      <w:r w:rsidR="00040264">
        <w:softHyphen/>
      </w:r>
      <w:r w:rsidR="009A2342">
        <w:t>længderne</w:t>
      </w:r>
      <w:r w:rsidR="00F07B32">
        <w:t xml:space="preserve">, idet du husker at </w:t>
      </w:r>
      <w:r w:rsidR="00F07B32" w:rsidRPr="00F07B32">
        <w:rPr>
          <w:position w:val="-6"/>
        </w:rPr>
        <w:object w:dxaOrig="520" w:dyaOrig="279">
          <v:shape id="_x0000_i1032" type="#_x0000_t75" style="width:26.25pt;height:14.25pt" o:ole="">
            <v:imagedata r:id="rId13" o:title=""/>
          </v:shape>
          <o:OLEObject Type="Embed" ProgID="Equation.DSMT4" ShapeID="_x0000_i1032" DrawAspect="Content" ObjectID="_1321019101" r:id="rId14"/>
        </w:object>
      </w:r>
      <w:r w:rsidR="009A2342">
        <w:t>:</w:t>
      </w:r>
      <w:r w:rsidR="00B54ED4">
        <w:t xml:space="preserve"> </w:t>
      </w:r>
      <w:r w:rsidR="00B54ED4" w:rsidRPr="009A274E">
        <w:rPr>
          <w:bCs/>
          <w:iCs/>
        </w:rPr>
        <w:t>Værdierne</w:t>
      </w:r>
      <w:r w:rsidR="00B54ED4">
        <w:rPr>
          <w:bCs/>
          <w:iCs/>
        </w:rPr>
        <w:t xml:space="preserve"> </w:t>
      </w:r>
      <w:r w:rsidR="00B54ED4" w:rsidRPr="009A274E">
        <w:rPr>
          <w:bCs/>
          <w:iCs/>
          <w:position w:val="-12"/>
        </w:rPr>
        <w:object w:dxaOrig="480" w:dyaOrig="360">
          <v:shape id="_x0000_i1040" type="#_x0000_t75" style="width:24pt;height:18pt" o:ole="">
            <v:imagedata r:id="rId15" o:title=""/>
          </v:shape>
          <o:OLEObject Type="Embed" ProgID="Equation.DSMT4" ShapeID="_x0000_i1040" DrawAspect="Content" ObjectID="_1321019102" r:id="rId16"/>
        </w:object>
      </w:r>
      <w:r w:rsidR="00B54ED4">
        <w:rPr>
          <w:bCs/>
          <w:iCs/>
        </w:rPr>
        <w:t xml:space="preserve"> skal du selv regne dig frem til ved først at udregne energierne i brintatomet</w:t>
      </w:r>
      <w:r w:rsidR="00CA20DA">
        <w:rPr>
          <w:bCs/>
          <w:iCs/>
        </w:rPr>
        <w:t xml:space="preserve"> i tabellen nederst til venstre og derefter energierne og bølgelængderne for en række overgange i tabellen nedenfor til højre. </w:t>
      </w:r>
    </w:p>
    <w:p w:rsidR="00CA20DA" w:rsidRDefault="00CA20DA" w:rsidP="009A2342">
      <w:pPr>
        <w:spacing w:line="320" w:lineRule="exact"/>
      </w:pPr>
    </w:p>
    <w:p w:rsidR="009A274E" w:rsidRDefault="009A2342" w:rsidP="00B54ED4">
      <w:pPr>
        <w:spacing w:before="120" w:after="240"/>
      </w:pPr>
      <w:r>
        <w:t>(2)</w:t>
      </w:r>
      <w:r>
        <w:tab/>
      </w:r>
      <w:r>
        <w:tab/>
      </w:r>
      <w:r>
        <w:tab/>
      </w:r>
      <w:r>
        <w:tab/>
      </w:r>
      <w:r w:rsidR="003B3445" w:rsidRPr="009A2342">
        <w:rPr>
          <w:position w:val="-24"/>
        </w:rPr>
        <w:object w:dxaOrig="5280" w:dyaOrig="620">
          <v:shape id="_x0000_i1042" type="#_x0000_t75" style="width:264pt;height:30.75pt" o:ole="">
            <v:imagedata r:id="rId17" o:title=""/>
          </v:shape>
          <o:OLEObject Type="Embed" ProgID="Equation.DSMT4" ShapeID="_x0000_i1042" DrawAspect="Content" ObjectID="_1321019103" r:id="rId18"/>
        </w:object>
      </w:r>
    </w:p>
    <w:tbl>
      <w:tblPr>
        <w:tblpPr w:leftFromText="142" w:rightFromText="142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907"/>
        <w:gridCol w:w="907"/>
        <w:gridCol w:w="907"/>
        <w:gridCol w:w="1059"/>
        <w:gridCol w:w="1260"/>
        <w:gridCol w:w="1800"/>
      </w:tblGrid>
      <w:tr w:rsidR="00A5408C" w:rsidTr="008160FF">
        <w:trPr>
          <w:trHeight w:val="454"/>
        </w:trPr>
        <w:tc>
          <w:tcPr>
            <w:tcW w:w="8460" w:type="dxa"/>
            <w:gridSpan w:val="7"/>
            <w:tcBorders>
              <w:bottom w:val="single" w:sz="6" w:space="0" w:color="auto"/>
            </w:tcBorders>
            <w:shd w:val="clear" w:color="auto" w:fill="E7F1D2" w:themeFill="accent4" w:themeFillTint="33"/>
            <w:vAlign w:val="center"/>
          </w:tcPr>
          <w:p w:rsidR="00A5408C" w:rsidRPr="0020642B" w:rsidRDefault="00A5408C" w:rsidP="00CA20DA">
            <w:pPr>
              <w:rPr>
                <w:rFonts w:asciiTheme="majorHAnsi" w:hAnsiTheme="majorHAnsi"/>
                <w:b/>
                <w:color w:val="415519" w:themeColor="accent4" w:themeShade="80"/>
              </w:rPr>
            </w:pPr>
            <w:r w:rsidRPr="0020642B">
              <w:rPr>
                <w:rFonts w:asciiTheme="majorHAnsi" w:hAnsiTheme="majorHAnsi"/>
                <w:b/>
                <w:color w:val="415519" w:themeColor="accent4" w:themeShade="80"/>
              </w:rPr>
              <w:t xml:space="preserve">Spektrallinjer for </w:t>
            </w:r>
            <w:r w:rsidR="00CA20DA">
              <w:rPr>
                <w:rFonts w:asciiTheme="majorHAnsi" w:hAnsiTheme="majorHAnsi"/>
                <w:b/>
                <w:color w:val="415519" w:themeColor="accent4" w:themeShade="80"/>
              </w:rPr>
              <w:t>brint</w:t>
            </w:r>
            <w:r w:rsidRPr="0020642B">
              <w:rPr>
                <w:rFonts w:asciiTheme="majorHAnsi" w:hAnsiTheme="majorHAnsi"/>
                <w:b/>
                <w:color w:val="415519" w:themeColor="accent4" w:themeShade="80"/>
              </w:rPr>
              <w:t xml:space="preserve"> (H)</w:t>
            </w:r>
          </w:p>
        </w:tc>
      </w:tr>
      <w:tr w:rsidR="00A5408C" w:rsidTr="0020642B">
        <w:trPr>
          <w:trHeight w:val="397"/>
        </w:trPr>
        <w:tc>
          <w:tcPr>
            <w:tcW w:w="1620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>
              <w:t>Farve</w:t>
            </w:r>
          </w:p>
        </w:tc>
        <w:tc>
          <w:tcPr>
            <w:tcW w:w="907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 w:rsidRPr="005F26FF">
              <w:rPr>
                <w:position w:val="-12"/>
              </w:rPr>
              <w:object w:dxaOrig="220" w:dyaOrig="360">
                <v:shape id="_x0000_i1027" type="#_x0000_t75" style="width:11.25pt;height:18pt" o:ole="">
                  <v:imagedata r:id="rId19" o:title=""/>
                </v:shape>
                <o:OLEObject Type="Embed" ProgID="Equation.DSMT4" ShapeID="_x0000_i1027" DrawAspect="Content" ObjectID="_1321019104" r:id="rId20"/>
              </w:object>
            </w:r>
            <w:r>
              <w:t xml:space="preserve"> (</w:t>
            </w:r>
            <w:r>
              <w:sym w:font="Symbol" w:char="F0B0"/>
            </w:r>
            <w:r>
              <w:t>)</w:t>
            </w:r>
          </w:p>
        </w:tc>
        <w:tc>
          <w:tcPr>
            <w:tcW w:w="907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 w:rsidRPr="005F26FF">
              <w:rPr>
                <w:position w:val="-12"/>
              </w:rPr>
              <w:object w:dxaOrig="260" w:dyaOrig="360">
                <v:shape id="_x0000_i1028" type="#_x0000_t75" style="width:12.75pt;height:18pt" o:ole="">
                  <v:imagedata r:id="rId21" o:title=""/>
                </v:shape>
                <o:OLEObject Type="Embed" ProgID="Equation.DSMT4" ShapeID="_x0000_i1028" DrawAspect="Content" ObjectID="_1321019105" r:id="rId22"/>
              </w:object>
            </w:r>
            <w:r>
              <w:t xml:space="preserve"> (</w:t>
            </w:r>
            <w:r>
              <w:sym w:font="Symbol" w:char="F0B0"/>
            </w:r>
            <w:r>
              <w:t>)</w:t>
            </w:r>
          </w:p>
        </w:tc>
        <w:tc>
          <w:tcPr>
            <w:tcW w:w="907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 w:rsidRPr="005F26FF">
              <w:rPr>
                <w:position w:val="-12"/>
              </w:rPr>
              <w:object w:dxaOrig="260" w:dyaOrig="360">
                <v:shape id="_x0000_i1029" type="#_x0000_t75" style="width:12.75pt;height:18pt" o:ole="">
                  <v:imagedata r:id="rId23" o:title=""/>
                </v:shape>
                <o:OLEObject Type="Embed" ProgID="Equation.DSMT4" ShapeID="_x0000_i1029" DrawAspect="Content" ObjectID="_1321019106" r:id="rId24"/>
              </w:object>
            </w:r>
            <w:r>
              <w:t xml:space="preserve"> (</w:t>
            </w:r>
            <w:r>
              <w:sym w:font="Symbol" w:char="F0B0"/>
            </w:r>
            <w:r>
              <w:t>)</w:t>
            </w:r>
          </w:p>
        </w:tc>
        <w:tc>
          <w:tcPr>
            <w:tcW w:w="1059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 w:rsidRPr="005F26FF">
              <w:rPr>
                <w:position w:val="-6"/>
              </w:rPr>
              <w:object w:dxaOrig="200" w:dyaOrig="279">
                <v:shape id="_x0000_i1030" type="#_x0000_t75" style="width:9.75pt;height:14.25pt" o:ole="">
                  <v:imagedata r:id="rId25" o:title=""/>
                </v:shape>
                <o:OLEObject Type="Embed" ProgID="Equation.DSMT4" ShapeID="_x0000_i1030" DrawAspect="Content" ObjectID="_1321019107" r:id="rId26"/>
              </w:object>
            </w:r>
            <w:r>
              <w:t xml:space="preserve"> (nm)</w:t>
            </w:r>
          </w:p>
        </w:tc>
        <w:tc>
          <w:tcPr>
            <w:tcW w:w="1260" w:type="dxa"/>
            <w:shd w:val="clear" w:color="auto" w:fill="FCD6BA" w:themeFill="accent5" w:themeFillTint="33"/>
            <w:vAlign w:val="center"/>
          </w:tcPr>
          <w:p w:rsidR="00A5408C" w:rsidRDefault="00A5408C" w:rsidP="008D17BF">
            <w:pPr>
              <w:jc w:val="center"/>
            </w:pPr>
            <w:r w:rsidRPr="005F26FF">
              <w:rPr>
                <w:position w:val="-12"/>
              </w:rPr>
              <w:object w:dxaOrig="480" w:dyaOrig="360">
                <v:shape id="_x0000_i1031" type="#_x0000_t75" style="width:24pt;height:18pt" o:ole="">
                  <v:imagedata r:id="rId27" o:title=""/>
                </v:shape>
                <o:OLEObject Type="Embed" ProgID="Equation.DSMT4" ShapeID="_x0000_i1031" DrawAspect="Content" ObjectID="_1321019108" r:id="rId28"/>
              </w:object>
            </w:r>
            <w:r>
              <w:t xml:space="preserve"> (nm)</w:t>
            </w:r>
          </w:p>
        </w:tc>
        <w:tc>
          <w:tcPr>
            <w:tcW w:w="1800" w:type="dxa"/>
            <w:shd w:val="clear" w:color="auto" w:fill="FCD6BA" w:themeFill="accent5" w:themeFillTint="33"/>
            <w:vAlign w:val="center"/>
          </w:tcPr>
          <w:p w:rsidR="00A5408C" w:rsidRDefault="00A5408C" w:rsidP="00560C5D">
            <w:pPr>
              <w:jc w:val="center"/>
            </w:pPr>
            <w:r>
              <w:t>Afvigelse (</w:t>
            </w:r>
            <w:r w:rsidR="00560C5D">
              <w:t>nm</w:t>
            </w:r>
            <w:r>
              <w:t>)</w:t>
            </w:r>
          </w:p>
        </w:tc>
      </w:tr>
      <w:tr w:rsidR="00A5408C" w:rsidTr="008D17BF">
        <w:trPr>
          <w:trHeight w:val="397"/>
        </w:trPr>
        <w:tc>
          <w:tcPr>
            <w:tcW w:w="1620" w:type="dxa"/>
          </w:tcPr>
          <w:p w:rsidR="00A5408C" w:rsidRDefault="00A5408C" w:rsidP="008D17BF">
            <w:pPr>
              <w:jc w:val="center"/>
            </w:pPr>
          </w:p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1059" w:type="dxa"/>
          </w:tcPr>
          <w:p w:rsidR="00A5408C" w:rsidRDefault="00A5408C" w:rsidP="008D17BF"/>
        </w:tc>
        <w:tc>
          <w:tcPr>
            <w:tcW w:w="1260" w:type="dxa"/>
          </w:tcPr>
          <w:p w:rsidR="00A5408C" w:rsidRDefault="00A5408C" w:rsidP="008D17BF"/>
        </w:tc>
        <w:tc>
          <w:tcPr>
            <w:tcW w:w="1800" w:type="dxa"/>
          </w:tcPr>
          <w:p w:rsidR="00A5408C" w:rsidRDefault="00A5408C" w:rsidP="008D17BF"/>
        </w:tc>
      </w:tr>
      <w:tr w:rsidR="00A5408C" w:rsidTr="008D17BF">
        <w:trPr>
          <w:trHeight w:val="397"/>
        </w:trPr>
        <w:tc>
          <w:tcPr>
            <w:tcW w:w="1620" w:type="dxa"/>
          </w:tcPr>
          <w:p w:rsidR="00A5408C" w:rsidRDefault="00A5408C" w:rsidP="008D17BF">
            <w:pPr>
              <w:jc w:val="center"/>
            </w:pPr>
          </w:p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1059" w:type="dxa"/>
          </w:tcPr>
          <w:p w:rsidR="00A5408C" w:rsidRDefault="00A5408C" w:rsidP="008D17BF"/>
        </w:tc>
        <w:tc>
          <w:tcPr>
            <w:tcW w:w="1260" w:type="dxa"/>
          </w:tcPr>
          <w:p w:rsidR="00A5408C" w:rsidRDefault="00A5408C" w:rsidP="008D17BF"/>
        </w:tc>
        <w:tc>
          <w:tcPr>
            <w:tcW w:w="1800" w:type="dxa"/>
          </w:tcPr>
          <w:p w:rsidR="00A5408C" w:rsidRDefault="00A5408C" w:rsidP="008D17BF"/>
        </w:tc>
      </w:tr>
      <w:tr w:rsidR="00A5408C" w:rsidTr="008D17BF">
        <w:trPr>
          <w:trHeight w:val="397"/>
        </w:trPr>
        <w:tc>
          <w:tcPr>
            <w:tcW w:w="1620" w:type="dxa"/>
          </w:tcPr>
          <w:p w:rsidR="00A5408C" w:rsidRDefault="00A5408C" w:rsidP="008D17BF">
            <w:pPr>
              <w:jc w:val="center"/>
            </w:pPr>
          </w:p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1059" w:type="dxa"/>
          </w:tcPr>
          <w:p w:rsidR="00A5408C" w:rsidRDefault="00A5408C" w:rsidP="008D17BF"/>
        </w:tc>
        <w:tc>
          <w:tcPr>
            <w:tcW w:w="1260" w:type="dxa"/>
          </w:tcPr>
          <w:p w:rsidR="00A5408C" w:rsidRDefault="00A5408C" w:rsidP="008D17BF"/>
        </w:tc>
        <w:tc>
          <w:tcPr>
            <w:tcW w:w="1800" w:type="dxa"/>
          </w:tcPr>
          <w:p w:rsidR="00A5408C" w:rsidRDefault="00A5408C" w:rsidP="008D17BF"/>
        </w:tc>
      </w:tr>
      <w:tr w:rsidR="00A5408C" w:rsidTr="008D17BF">
        <w:trPr>
          <w:trHeight w:val="397"/>
        </w:trPr>
        <w:tc>
          <w:tcPr>
            <w:tcW w:w="1620" w:type="dxa"/>
          </w:tcPr>
          <w:p w:rsidR="00A5408C" w:rsidRDefault="00A5408C" w:rsidP="008D17BF">
            <w:pPr>
              <w:jc w:val="center"/>
            </w:pPr>
          </w:p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907" w:type="dxa"/>
          </w:tcPr>
          <w:p w:rsidR="00A5408C" w:rsidRDefault="00A5408C" w:rsidP="008D17BF"/>
        </w:tc>
        <w:tc>
          <w:tcPr>
            <w:tcW w:w="1059" w:type="dxa"/>
          </w:tcPr>
          <w:p w:rsidR="00A5408C" w:rsidRDefault="00A5408C" w:rsidP="008D17BF"/>
        </w:tc>
        <w:tc>
          <w:tcPr>
            <w:tcW w:w="1260" w:type="dxa"/>
          </w:tcPr>
          <w:p w:rsidR="00A5408C" w:rsidRDefault="00A5408C" w:rsidP="008D17BF"/>
        </w:tc>
        <w:tc>
          <w:tcPr>
            <w:tcW w:w="1800" w:type="dxa"/>
          </w:tcPr>
          <w:p w:rsidR="00A5408C" w:rsidRDefault="00A5408C" w:rsidP="008D17BF"/>
        </w:tc>
      </w:tr>
    </w:tbl>
    <w:p w:rsidR="00A5408C" w:rsidRPr="009A274E" w:rsidRDefault="00A5408C" w:rsidP="009A274E"/>
    <w:tbl>
      <w:tblPr>
        <w:tblpPr w:leftFromText="141" w:rightFromText="141" w:vertAnchor="text" w:tblpX="7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701"/>
      </w:tblGrid>
      <w:tr w:rsidR="00244BF9" w:rsidTr="0014292B">
        <w:trPr>
          <w:trHeight w:val="454"/>
        </w:trPr>
        <w:tc>
          <w:tcPr>
            <w:tcW w:w="2835" w:type="dxa"/>
            <w:gridSpan w:val="2"/>
            <w:tcBorders>
              <w:bottom w:val="single" w:sz="6" w:space="0" w:color="auto"/>
            </w:tcBorders>
            <w:shd w:val="clear" w:color="auto" w:fill="E7F1D2" w:themeFill="accent4" w:themeFillTint="33"/>
            <w:vAlign w:val="center"/>
          </w:tcPr>
          <w:p w:rsidR="00244BF9" w:rsidRPr="0020642B" w:rsidRDefault="00CA20DA" w:rsidP="0014292B">
            <w:pPr>
              <w:rPr>
                <w:rFonts w:asciiTheme="majorHAnsi" w:hAnsiTheme="majorHAnsi"/>
                <w:b/>
                <w:color w:val="415519" w:themeColor="accent4" w:themeShade="80"/>
              </w:rPr>
            </w:pPr>
            <w:r>
              <w:rPr>
                <w:rFonts w:asciiTheme="majorHAnsi" w:hAnsiTheme="majorHAnsi"/>
                <w:b/>
                <w:color w:val="415519" w:themeColor="accent4" w:themeShade="80"/>
              </w:rPr>
              <w:t>Energiniveauer i b</w:t>
            </w:r>
            <w:r w:rsidR="00244BF9">
              <w:rPr>
                <w:rFonts w:asciiTheme="majorHAnsi" w:hAnsiTheme="majorHAnsi"/>
                <w:b/>
                <w:color w:val="415519" w:themeColor="accent4" w:themeShade="80"/>
              </w:rPr>
              <w:t>rint</w:t>
            </w:r>
          </w:p>
        </w:tc>
      </w:tr>
      <w:tr w:rsidR="00244BF9" w:rsidTr="00DF0937">
        <w:trPr>
          <w:trHeight w:val="397"/>
        </w:trPr>
        <w:tc>
          <w:tcPr>
            <w:tcW w:w="1134" w:type="dxa"/>
            <w:shd w:val="clear" w:color="auto" w:fill="FCD6BA" w:themeFill="accent5" w:themeFillTint="33"/>
            <w:vAlign w:val="center"/>
          </w:tcPr>
          <w:p w:rsidR="00244BF9" w:rsidRPr="009A274E" w:rsidRDefault="00244BF9" w:rsidP="0014292B">
            <w:pPr>
              <w:jc w:val="center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1701" w:type="dxa"/>
            <w:shd w:val="clear" w:color="auto" w:fill="FCD6BA" w:themeFill="accent5" w:themeFillTint="33"/>
            <w:vAlign w:val="bottom"/>
          </w:tcPr>
          <w:p w:rsidR="00244BF9" w:rsidRPr="009A274E" w:rsidRDefault="00244BF9" w:rsidP="00DF0937">
            <w:pPr>
              <w:jc w:val="center"/>
            </w:pPr>
            <w:r w:rsidRPr="009A274E">
              <w:rPr>
                <w:i/>
                <w:position w:val="-12"/>
              </w:rPr>
              <w:object w:dxaOrig="639" w:dyaOrig="360">
                <v:shape id="_x0000_i1033" type="#_x0000_t75" style="width:32.25pt;height:18pt" o:ole="">
                  <v:imagedata r:id="rId29" o:title=""/>
                </v:shape>
                <o:OLEObject Type="Embed" ProgID="Equation.DSMT4" ShapeID="_x0000_i1033" DrawAspect="Content" ObjectID="_1321019109" r:id="rId30"/>
              </w:object>
            </w: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134" w:type="dxa"/>
            <w:vAlign w:val="center"/>
          </w:tcPr>
          <w:p w:rsidR="00244BF9" w:rsidRDefault="00244BF9" w:rsidP="00244BF9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</w:tbl>
    <w:tbl>
      <w:tblPr>
        <w:tblpPr w:leftFromText="141" w:rightFromText="141" w:vertAnchor="text" w:horzAnchor="page" w:tblpX="5031" w:tblpY="22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347"/>
        <w:gridCol w:w="1701"/>
      </w:tblGrid>
      <w:tr w:rsidR="00244BF9" w:rsidTr="00244BF9">
        <w:trPr>
          <w:trHeight w:val="454"/>
        </w:trPr>
        <w:tc>
          <w:tcPr>
            <w:tcW w:w="4536" w:type="dxa"/>
            <w:gridSpan w:val="3"/>
            <w:tcBorders>
              <w:bottom w:val="single" w:sz="6" w:space="0" w:color="auto"/>
            </w:tcBorders>
            <w:shd w:val="clear" w:color="auto" w:fill="E7F1D2" w:themeFill="accent4" w:themeFillTint="33"/>
            <w:vAlign w:val="center"/>
          </w:tcPr>
          <w:p w:rsidR="00244BF9" w:rsidRDefault="00244BF9" w:rsidP="00244BF9">
            <w:pPr>
              <w:rPr>
                <w:rFonts w:asciiTheme="majorHAnsi" w:hAnsiTheme="majorHAnsi"/>
                <w:b/>
                <w:color w:val="415519" w:themeColor="accent4" w:themeShade="80"/>
              </w:rPr>
            </w:pPr>
            <w:r>
              <w:rPr>
                <w:rFonts w:asciiTheme="majorHAnsi" w:hAnsiTheme="majorHAnsi"/>
                <w:b/>
                <w:color w:val="415519" w:themeColor="accent4" w:themeShade="80"/>
              </w:rPr>
              <w:t>Balmerlinjer</w:t>
            </w:r>
          </w:p>
        </w:tc>
      </w:tr>
      <w:tr w:rsidR="00244BF9" w:rsidTr="00DF0937">
        <w:trPr>
          <w:trHeight w:val="397"/>
        </w:trPr>
        <w:tc>
          <w:tcPr>
            <w:tcW w:w="1488" w:type="dxa"/>
            <w:shd w:val="clear" w:color="auto" w:fill="FCD6BA" w:themeFill="accent5" w:themeFillTint="33"/>
            <w:vAlign w:val="center"/>
          </w:tcPr>
          <w:p w:rsidR="00244BF9" w:rsidRPr="00DA77E3" w:rsidRDefault="00244BF9" w:rsidP="00244BF9">
            <w:pPr>
              <w:jc w:val="center"/>
            </w:pPr>
            <w:r>
              <w:t>Overgange</w:t>
            </w:r>
          </w:p>
        </w:tc>
        <w:tc>
          <w:tcPr>
            <w:tcW w:w="1347" w:type="dxa"/>
            <w:shd w:val="clear" w:color="auto" w:fill="FCD6BA" w:themeFill="accent5" w:themeFillTint="33"/>
            <w:vAlign w:val="bottom"/>
          </w:tcPr>
          <w:p w:rsidR="00244BF9" w:rsidRPr="009A274E" w:rsidRDefault="003A6F46" w:rsidP="00DF0937">
            <w:pPr>
              <w:jc w:val="center"/>
            </w:pPr>
            <w:r w:rsidRPr="00DA77E3">
              <w:rPr>
                <w:i/>
                <w:position w:val="-10"/>
              </w:rPr>
              <w:object w:dxaOrig="700" w:dyaOrig="320">
                <v:shape id="_x0000_i1041" type="#_x0000_t75" style="width:35.25pt;height:15.75pt" o:ole="">
                  <v:imagedata r:id="rId31" o:title=""/>
                </v:shape>
                <o:OLEObject Type="Embed" ProgID="Equation.DSMT4" ShapeID="_x0000_i1041" DrawAspect="Content" ObjectID="_1321019110" r:id="rId32"/>
              </w:object>
            </w:r>
          </w:p>
        </w:tc>
        <w:tc>
          <w:tcPr>
            <w:tcW w:w="1701" w:type="dxa"/>
            <w:shd w:val="clear" w:color="auto" w:fill="FCD6BA" w:themeFill="accent5" w:themeFillTint="33"/>
            <w:vAlign w:val="bottom"/>
          </w:tcPr>
          <w:p w:rsidR="00244BF9" w:rsidRPr="00DA77E3" w:rsidRDefault="00244BF9" w:rsidP="00DF0937">
            <w:pPr>
              <w:jc w:val="center"/>
              <w:rPr>
                <w:position w:val="-12"/>
              </w:rPr>
            </w:pPr>
            <w:r w:rsidRPr="00DA77E3">
              <w:rPr>
                <w:position w:val="-10"/>
              </w:rPr>
              <w:object w:dxaOrig="740" w:dyaOrig="320">
                <v:shape id="_x0000_i1034" type="#_x0000_t75" style="width:36.75pt;height:15.75pt" o:ole="">
                  <v:imagedata r:id="rId33" o:title=""/>
                </v:shape>
                <o:OLEObject Type="Embed" ProgID="Equation.DSMT4" ShapeID="_x0000_i1034" DrawAspect="Content" ObjectID="_1321019111" r:id="rId34"/>
              </w:object>
            </w:r>
          </w:p>
        </w:tc>
      </w:tr>
      <w:tr w:rsidR="00244BF9" w:rsidTr="00244BF9">
        <w:trPr>
          <w:trHeight w:val="397"/>
        </w:trPr>
        <w:tc>
          <w:tcPr>
            <w:tcW w:w="1488" w:type="dxa"/>
            <w:vAlign w:val="center"/>
          </w:tcPr>
          <w:p w:rsidR="00244BF9" w:rsidRDefault="00244BF9" w:rsidP="00244BF9">
            <w:pPr>
              <w:jc w:val="center"/>
            </w:pPr>
            <w:r w:rsidRPr="00DA77E3">
              <w:rPr>
                <w:position w:val="-6"/>
              </w:rPr>
              <w:object w:dxaOrig="639" w:dyaOrig="279">
                <v:shape id="_x0000_i1035" type="#_x0000_t75" style="width:32.25pt;height:14.25pt" o:ole="">
                  <v:imagedata r:id="rId35" o:title=""/>
                </v:shape>
                <o:OLEObject Type="Embed" ProgID="Equation.DSMT4" ShapeID="_x0000_i1035" DrawAspect="Content" ObjectID="_1321019112" r:id="rId36"/>
              </w:object>
            </w:r>
          </w:p>
        </w:tc>
        <w:tc>
          <w:tcPr>
            <w:tcW w:w="1347" w:type="dxa"/>
            <w:vAlign w:val="center"/>
          </w:tcPr>
          <w:p w:rsidR="00244BF9" w:rsidRDefault="00244BF9" w:rsidP="00244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488" w:type="dxa"/>
            <w:vAlign w:val="center"/>
          </w:tcPr>
          <w:p w:rsidR="00244BF9" w:rsidRDefault="00244BF9" w:rsidP="00244BF9">
            <w:pPr>
              <w:jc w:val="center"/>
            </w:pPr>
            <w:r w:rsidRPr="00DA77E3">
              <w:rPr>
                <w:position w:val="-6"/>
              </w:rPr>
              <w:object w:dxaOrig="660" w:dyaOrig="279">
                <v:shape id="_x0000_i1036" type="#_x0000_t75" style="width:33pt;height:14.25pt" o:ole="">
                  <v:imagedata r:id="rId37" o:title=""/>
                </v:shape>
                <o:OLEObject Type="Embed" ProgID="Equation.DSMT4" ShapeID="_x0000_i1036" DrawAspect="Content" ObjectID="_1321019113" r:id="rId38"/>
              </w:object>
            </w:r>
          </w:p>
        </w:tc>
        <w:tc>
          <w:tcPr>
            <w:tcW w:w="1347" w:type="dxa"/>
            <w:vAlign w:val="center"/>
          </w:tcPr>
          <w:p w:rsidR="00244BF9" w:rsidRDefault="00244BF9" w:rsidP="00244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488" w:type="dxa"/>
            <w:vAlign w:val="center"/>
          </w:tcPr>
          <w:p w:rsidR="00244BF9" w:rsidRDefault="00244BF9" w:rsidP="00244BF9">
            <w:pPr>
              <w:jc w:val="center"/>
            </w:pPr>
            <w:r w:rsidRPr="00DA77E3">
              <w:rPr>
                <w:position w:val="-6"/>
              </w:rPr>
              <w:object w:dxaOrig="639" w:dyaOrig="279">
                <v:shape id="_x0000_i1037" type="#_x0000_t75" style="width:32.25pt;height:14.25pt" o:ole="">
                  <v:imagedata r:id="rId39" o:title=""/>
                </v:shape>
                <o:OLEObject Type="Embed" ProgID="Equation.DSMT4" ShapeID="_x0000_i1037" DrawAspect="Content" ObjectID="_1321019114" r:id="rId40"/>
              </w:object>
            </w:r>
          </w:p>
        </w:tc>
        <w:tc>
          <w:tcPr>
            <w:tcW w:w="1347" w:type="dxa"/>
            <w:vAlign w:val="center"/>
          </w:tcPr>
          <w:p w:rsidR="00244BF9" w:rsidRDefault="00244BF9" w:rsidP="00244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488" w:type="dxa"/>
            <w:vAlign w:val="center"/>
          </w:tcPr>
          <w:p w:rsidR="00244BF9" w:rsidRDefault="00244BF9" w:rsidP="00244BF9">
            <w:pPr>
              <w:jc w:val="center"/>
            </w:pPr>
            <w:r w:rsidRPr="00DA77E3">
              <w:rPr>
                <w:position w:val="-6"/>
              </w:rPr>
              <w:object w:dxaOrig="639" w:dyaOrig="279">
                <v:shape id="_x0000_i1038" type="#_x0000_t75" style="width:32.25pt;height:14.25pt" o:ole="">
                  <v:imagedata r:id="rId41" o:title=""/>
                </v:shape>
                <o:OLEObject Type="Embed" ProgID="Equation.DSMT4" ShapeID="_x0000_i1038" DrawAspect="Content" ObjectID="_1321019115" r:id="rId42"/>
              </w:object>
            </w:r>
          </w:p>
        </w:tc>
        <w:tc>
          <w:tcPr>
            <w:tcW w:w="1347" w:type="dxa"/>
            <w:vAlign w:val="center"/>
          </w:tcPr>
          <w:p w:rsidR="00244BF9" w:rsidRDefault="00244BF9" w:rsidP="00244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  <w:tr w:rsidR="00244BF9" w:rsidTr="00244BF9">
        <w:trPr>
          <w:trHeight w:val="397"/>
        </w:trPr>
        <w:tc>
          <w:tcPr>
            <w:tcW w:w="1488" w:type="dxa"/>
            <w:vAlign w:val="center"/>
          </w:tcPr>
          <w:p w:rsidR="00244BF9" w:rsidRDefault="00244BF9" w:rsidP="00244BF9">
            <w:pPr>
              <w:jc w:val="center"/>
            </w:pPr>
            <w:r w:rsidRPr="00DA77E3">
              <w:rPr>
                <w:position w:val="-6"/>
              </w:rPr>
              <w:object w:dxaOrig="660" w:dyaOrig="279">
                <v:shape id="_x0000_i1039" type="#_x0000_t75" style="width:33pt;height:14.25pt" o:ole="">
                  <v:imagedata r:id="rId43" o:title=""/>
                </v:shape>
                <o:OLEObject Type="Embed" ProgID="Equation.DSMT4" ShapeID="_x0000_i1039" DrawAspect="Content" ObjectID="_1321019116" r:id="rId44"/>
              </w:object>
            </w:r>
          </w:p>
        </w:tc>
        <w:tc>
          <w:tcPr>
            <w:tcW w:w="1347" w:type="dxa"/>
            <w:vAlign w:val="center"/>
          </w:tcPr>
          <w:p w:rsidR="00244BF9" w:rsidRDefault="00244BF9" w:rsidP="00244BF9">
            <w:pPr>
              <w:jc w:val="center"/>
            </w:pPr>
          </w:p>
        </w:tc>
        <w:tc>
          <w:tcPr>
            <w:tcW w:w="1701" w:type="dxa"/>
            <w:vAlign w:val="center"/>
          </w:tcPr>
          <w:p w:rsidR="00244BF9" w:rsidRDefault="00244BF9" w:rsidP="00244BF9">
            <w:pPr>
              <w:jc w:val="center"/>
            </w:pPr>
          </w:p>
        </w:tc>
      </w:tr>
    </w:tbl>
    <w:p w:rsidR="00244BF9" w:rsidRDefault="00244BF9" w:rsidP="009A274E">
      <w:pPr>
        <w:rPr>
          <w:bCs/>
          <w:iCs/>
        </w:rPr>
      </w:pPr>
      <w:r>
        <w:rPr>
          <w:bCs/>
          <w:iCs/>
        </w:rPr>
        <w:t xml:space="preserve">  </w:t>
      </w:r>
    </w:p>
    <w:p w:rsidR="009A274E" w:rsidRDefault="009A274E" w:rsidP="009A274E">
      <w:pPr>
        <w:rPr>
          <w:bCs/>
          <w:iCs/>
        </w:rPr>
      </w:pPr>
    </w:p>
    <w:p w:rsidR="009A274E" w:rsidRDefault="00B54ED4" w:rsidP="00244BF9">
      <w:r>
        <w:rPr>
          <w:noProof/>
        </w:rPr>
        <w:pict>
          <v:shape id="_x0000_s1043" type="#_x0000_t75" style="position:absolute;left:0;text-align:left;margin-left:-233.25pt;margin-top:134pt;width:228.25pt;height:30.75pt;z-index:251660288">
            <v:imagedata r:id="rId45" o:title=""/>
            <w10:wrap type="square"/>
          </v:shape>
          <o:OLEObject Type="Embed" ProgID="Equation.DSMT4" ShapeID="_x0000_s1043" DrawAspect="Content" ObjectID="_1321019118" r:id="rId46"/>
        </w:pict>
      </w:r>
      <w:r w:rsidR="009A274E">
        <w:br w:type="page"/>
      </w:r>
    </w:p>
    <w:p w:rsidR="009A274E" w:rsidRDefault="003D6ADD" w:rsidP="003D6ADD">
      <w:pPr>
        <w:pStyle w:val="Overskrift3"/>
      </w:pPr>
      <w:r>
        <w:lastRenderedPageBreak/>
        <w:t>Overvejelser</w:t>
      </w:r>
    </w:p>
    <w:p w:rsidR="003D6ADD" w:rsidRPr="003D6ADD" w:rsidRDefault="009062FD" w:rsidP="009062FD">
      <w:pPr>
        <w:pStyle w:val="Normalp"/>
      </w:pPr>
      <w:r>
        <w:t xml:space="preserve">Lige et par spørgsmål, som måske kan bidrage til forståelsen: </w:t>
      </w:r>
      <w:r w:rsidR="003D6ADD">
        <w:t xml:space="preserve">Hvordan </w:t>
      </w:r>
      <w:r>
        <w:t>fungerer brint-røret? Hvordan skabes lyset i røret? Hvorfor ser man kun et linjespektrum og ikke et kon</w:t>
      </w:r>
      <w:r>
        <w:softHyphen/>
        <w:t xml:space="preserve">tinuert spektrum. Hvordan passer sidstnævnte sammen med Bohrs atommodel? </w:t>
      </w:r>
      <w:r w:rsidRPr="009062FD">
        <w:rPr>
          <w:i/>
        </w:rPr>
        <w:t>Ly</w:t>
      </w:r>
      <w:r w:rsidRPr="009062FD">
        <w:rPr>
          <w:i/>
        </w:rPr>
        <w:softHyphen/>
        <w:t>man</w:t>
      </w:r>
      <w:r>
        <w:t xml:space="preserve">-serien af spektrallinjer skyldes overgange til grundtilstanden </w:t>
      </w:r>
      <w:r w:rsidRPr="009062FD">
        <w:rPr>
          <w:position w:val="-10"/>
        </w:rPr>
        <w:object w:dxaOrig="680" w:dyaOrig="320">
          <v:shape id="_x0000_i1043" type="#_x0000_t75" style="width:33.75pt;height:15.75pt" o:ole="">
            <v:imagedata r:id="rId47" o:title=""/>
          </v:shape>
          <o:OLEObject Type="Embed" ProgID="Equation.DSMT4" ShapeID="_x0000_i1043" DrawAspect="Content" ObjectID="_1321019117" r:id="rId48"/>
        </w:object>
      </w:r>
      <w:r>
        <w:t xml:space="preserve"> i brintatomet. Hvor</w:t>
      </w:r>
      <w:r>
        <w:softHyphen/>
        <w:t xml:space="preserve">for var det </w:t>
      </w:r>
      <w:r w:rsidRPr="009062FD">
        <w:rPr>
          <w:i/>
        </w:rPr>
        <w:t>Balmer</w:t>
      </w:r>
      <w:r>
        <w:t xml:space="preserve">-serien, der blev opdaget først? </w:t>
      </w:r>
    </w:p>
    <w:p w:rsidR="00DA77E3" w:rsidRDefault="00DA77E3" w:rsidP="009A274E">
      <w:pPr>
        <w:spacing w:before="120" w:after="120"/>
      </w:pPr>
    </w:p>
    <w:p w:rsidR="00DA77E3" w:rsidRDefault="00DA77E3" w:rsidP="009A274E">
      <w:pPr>
        <w:spacing w:before="120" w:after="120"/>
      </w:pPr>
    </w:p>
    <w:p w:rsidR="00DA77E3" w:rsidRDefault="00DA77E3" w:rsidP="009A274E">
      <w:pPr>
        <w:spacing w:before="120" w:after="120"/>
      </w:pPr>
    </w:p>
    <w:p w:rsidR="009A274E" w:rsidRPr="009A274E" w:rsidRDefault="009A274E" w:rsidP="009A274E"/>
    <w:p w:rsidR="009A274E" w:rsidRDefault="009A274E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DA77E3" w:rsidRDefault="00DA77E3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9A274E">
      <w:pPr>
        <w:rPr>
          <w:bCs/>
          <w:iCs/>
        </w:rPr>
      </w:pPr>
    </w:p>
    <w:p w:rsidR="00244BF9" w:rsidRDefault="00244BF9" w:rsidP="00244BF9">
      <w:pPr>
        <w:rPr>
          <w:bCs/>
          <w:iCs/>
        </w:rPr>
      </w:pPr>
    </w:p>
    <w:p w:rsidR="00244BF9" w:rsidRPr="009A274E" w:rsidRDefault="00244BF9" w:rsidP="009A274E">
      <w:pPr>
        <w:rPr>
          <w:bCs/>
          <w:iCs/>
        </w:rPr>
      </w:pPr>
    </w:p>
    <w:sectPr w:rsidR="00244BF9" w:rsidRPr="009A274E" w:rsidSect="00197F7C">
      <w:headerReference w:type="even" r:id="rId49"/>
      <w:headerReference w:type="default" r:id="rId50"/>
      <w:headerReference w:type="first" r:id="rId51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5BC" w:rsidRDefault="000215BC" w:rsidP="00E2358E">
      <w:pPr>
        <w:spacing w:line="240" w:lineRule="auto"/>
      </w:pPr>
      <w:r>
        <w:separator/>
      </w:r>
    </w:p>
  </w:endnote>
  <w:endnote w:type="continuationSeparator" w:id="0">
    <w:p w:rsidR="000215BC" w:rsidRDefault="000215BC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5BC" w:rsidRDefault="000215BC" w:rsidP="00E2358E">
      <w:pPr>
        <w:spacing w:line="240" w:lineRule="auto"/>
      </w:pPr>
      <w:r>
        <w:separator/>
      </w:r>
    </w:p>
  </w:footnote>
  <w:footnote w:type="continuationSeparator" w:id="0">
    <w:p w:rsidR="000215BC" w:rsidRDefault="000215BC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4B3811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062FD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4B3811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4B3811" w:rsidP="00197F7C">
    <w:pPr>
      <w:pStyle w:val="Sidehoved"/>
      <w:rPr>
        <w:rFonts w:asciiTheme="minorHAnsi" w:hAnsiTheme="minorHAnsi"/>
        <w:sz w:val="20"/>
        <w:szCs w:val="20"/>
      </w:rPr>
    </w:pPr>
    <w:r w:rsidRPr="004B3811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9062FD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4B3811">
    <w:pPr>
      <w:pStyle w:val="Sidehoved"/>
      <w:rPr>
        <w:rFonts w:asciiTheme="minorHAnsi" w:hAnsiTheme="minorHAnsi"/>
        <w:sz w:val="20"/>
        <w:szCs w:val="20"/>
      </w:rPr>
    </w:pPr>
    <w:r w:rsidRPr="004B3811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  <o:rules v:ext="edit">
        <o:r id="V:Rule4" type="connector" idref="#_x0000_s4112"/>
        <o:r id="V:Rule5" type="connector" idref="#_x0000_s4111"/>
        <o:r id="V:Rule6" type="connector" idref="#_x0000_s410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58F7"/>
    <w:rsid w:val="0000545A"/>
    <w:rsid w:val="00007715"/>
    <w:rsid w:val="000215BC"/>
    <w:rsid w:val="00040264"/>
    <w:rsid w:val="00043C23"/>
    <w:rsid w:val="00086412"/>
    <w:rsid w:val="00086888"/>
    <w:rsid w:val="000A54D1"/>
    <w:rsid w:val="000C0A2F"/>
    <w:rsid w:val="000D2460"/>
    <w:rsid w:val="000F4442"/>
    <w:rsid w:val="00167291"/>
    <w:rsid w:val="00195AD0"/>
    <w:rsid w:val="00197F7C"/>
    <w:rsid w:val="001C3B74"/>
    <w:rsid w:val="0020642B"/>
    <w:rsid w:val="00227B77"/>
    <w:rsid w:val="00244BF9"/>
    <w:rsid w:val="00254263"/>
    <w:rsid w:val="002615C9"/>
    <w:rsid w:val="002647A0"/>
    <w:rsid w:val="00294F40"/>
    <w:rsid w:val="00296EE6"/>
    <w:rsid w:val="002B4275"/>
    <w:rsid w:val="002B60D3"/>
    <w:rsid w:val="002C4BC7"/>
    <w:rsid w:val="0031606D"/>
    <w:rsid w:val="00326307"/>
    <w:rsid w:val="00353AA3"/>
    <w:rsid w:val="00370BCF"/>
    <w:rsid w:val="00376C0B"/>
    <w:rsid w:val="00397D0F"/>
    <w:rsid w:val="003A6F46"/>
    <w:rsid w:val="003B3445"/>
    <w:rsid w:val="003D6ADD"/>
    <w:rsid w:val="00425639"/>
    <w:rsid w:val="00460CBB"/>
    <w:rsid w:val="00473797"/>
    <w:rsid w:val="004B3811"/>
    <w:rsid w:val="004E3B47"/>
    <w:rsid w:val="004F467A"/>
    <w:rsid w:val="004F4773"/>
    <w:rsid w:val="00510C65"/>
    <w:rsid w:val="00535061"/>
    <w:rsid w:val="005532DF"/>
    <w:rsid w:val="00560C5D"/>
    <w:rsid w:val="005B0CDA"/>
    <w:rsid w:val="005B1DAA"/>
    <w:rsid w:val="005C77AC"/>
    <w:rsid w:val="005C7D88"/>
    <w:rsid w:val="005E4725"/>
    <w:rsid w:val="0063631F"/>
    <w:rsid w:val="00661C98"/>
    <w:rsid w:val="00674526"/>
    <w:rsid w:val="006767F9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7F25E1"/>
    <w:rsid w:val="007F3171"/>
    <w:rsid w:val="008160FF"/>
    <w:rsid w:val="00830F56"/>
    <w:rsid w:val="00884722"/>
    <w:rsid w:val="00884913"/>
    <w:rsid w:val="0088678C"/>
    <w:rsid w:val="008A574D"/>
    <w:rsid w:val="008A6F9C"/>
    <w:rsid w:val="008C5D54"/>
    <w:rsid w:val="008F2780"/>
    <w:rsid w:val="008F54B6"/>
    <w:rsid w:val="009062FD"/>
    <w:rsid w:val="00935630"/>
    <w:rsid w:val="00975CDC"/>
    <w:rsid w:val="009A2342"/>
    <w:rsid w:val="009A274E"/>
    <w:rsid w:val="009D2185"/>
    <w:rsid w:val="009D60C5"/>
    <w:rsid w:val="009F4632"/>
    <w:rsid w:val="009F6297"/>
    <w:rsid w:val="00A0499B"/>
    <w:rsid w:val="00A5408C"/>
    <w:rsid w:val="00A542F6"/>
    <w:rsid w:val="00A67060"/>
    <w:rsid w:val="00A71925"/>
    <w:rsid w:val="00A95F42"/>
    <w:rsid w:val="00AB6C30"/>
    <w:rsid w:val="00AF1729"/>
    <w:rsid w:val="00AF3BC2"/>
    <w:rsid w:val="00B240F6"/>
    <w:rsid w:val="00B317A1"/>
    <w:rsid w:val="00B32D67"/>
    <w:rsid w:val="00B54ED4"/>
    <w:rsid w:val="00B65F1B"/>
    <w:rsid w:val="00B958BD"/>
    <w:rsid w:val="00B9618E"/>
    <w:rsid w:val="00BA730C"/>
    <w:rsid w:val="00BE502E"/>
    <w:rsid w:val="00C17D1E"/>
    <w:rsid w:val="00C25862"/>
    <w:rsid w:val="00C33BCD"/>
    <w:rsid w:val="00C36626"/>
    <w:rsid w:val="00C40D7B"/>
    <w:rsid w:val="00C7284E"/>
    <w:rsid w:val="00CA20DA"/>
    <w:rsid w:val="00CA684A"/>
    <w:rsid w:val="00CD55E2"/>
    <w:rsid w:val="00CD5FA3"/>
    <w:rsid w:val="00CF724F"/>
    <w:rsid w:val="00D27708"/>
    <w:rsid w:val="00D458F7"/>
    <w:rsid w:val="00D64ED1"/>
    <w:rsid w:val="00D706B5"/>
    <w:rsid w:val="00D75A28"/>
    <w:rsid w:val="00DA36CF"/>
    <w:rsid w:val="00DA6E78"/>
    <w:rsid w:val="00DA77E3"/>
    <w:rsid w:val="00DB6854"/>
    <w:rsid w:val="00DF0937"/>
    <w:rsid w:val="00E214BC"/>
    <w:rsid w:val="00E2358E"/>
    <w:rsid w:val="00E56314"/>
    <w:rsid w:val="00E57E55"/>
    <w:rsid w:val="00E64DA8"/>
    <w:rsid w:val="00E658FE"/>
    <w:rsid w:val="00E67CF1"/>
    <w:rsid w:val="00E704C1"/>
    <w:rsid w:val="00EB16BD"/>
    <w:rsid w:val="00ED53DC"/>
    <w:rsid w:val="00F07B32"/>
    <w:rsid w:val="00F31431"/>
    <w:rsid w:val="00F322A5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CA20DA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3D6ADD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CA20DA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D6ADD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paragraph" w:customStyle="1" w:styleId="Typografi1">
    <w:name w:val="Typografi1"/>
    <w:basedOn w:val="Overskrift5"/>
    <w:autoRedefine/>
    <w:rsid w:val="00A5408C"/>
    <w:pPr>
      <w:keepNext w:val="0"/>
      <w:keepLines w:val="0"/>
      <w:tabs>
        <w:tab w:val="clear" w:pos="425"/>
      </w:tabs>
      <w:jc w:val="both"/>
      <w:outlineLvl w:val="9"/>
    </w:pPr>
    <w:rPr>
      <w:rFonts w:ascii="Arial" w:eastAsia="Times New Roman" w:hAnsi="Arial" w:cs="Arial"/>
      <w:i/>
      <w:sz w:val="22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jpeg"/><Relationship Id="rId5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2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4F3E-8B02-42DC-A3B0-E721A5DF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fysikøvelse2.dotm</Template>
  <TotalTime>103</TotalTime>
  <Pages>3</Pages>
  <Words>538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49</cp:revision>
  <cp:lastPrinted>2009-11-29T04:00:00Z</cp:lastPrinted>
  <dcterms:created xsi:type="dcterms:W3CDTF">2009-11-29T03:59:00Z</dcterms:created>
  <dcterms:modified xsi:type="dcterms:W3CDTF">2009-11-29T15:50:00Z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